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rPr>
        <w:t>仲裁委员会设立登记</w:t>
      </w:r>
      <w:r>
        <w:rPr>
          <w:rFonts w:hint="eastAsia" w:ascii="宋体" w:hAnsi="宋体" w:eastAsia="宋体" w:cs="宋体"/>
          <w:b/>
          <w:bCs/>
          <w:sz w:val="44"/>
          <w:szCs w:val="44"/>
          <w:lang w:eastAsia="zh-CN"/>
        </w:rPr>
        <w:t>指引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Style w:val="8"/>
          <w:rFonts w:hint="eastAsia" w:ascii="黑体" w:hAnsi="黑体" w:eastAsia="黑体" w:cs="黑体"/>
          <w:b w:val="0"/>
          <w:bCs w:val="0"/>
          <w:sz w:val="28"/>
          <w:szCs w:val="28"/>
          <w:lang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outlineLvl w:val="9"/>
        <w:rPr>
          <w:rStyle w:val="8"/>
          <w:rFonts w:hint="eastAsia" w:ascii="黑体" w:hAnsi="黑体" w:eastAsia="黑体" w:cs="黑体"/>
          <w:b w:val="0"/>
          <w:bCs w:val="0"/>
          <w:sz w:val="28"/>
          <w:szCs w:val="28"/>
        </w:rPr>
      </w:pPr>
      <w:r>
        <w:rPr>
          <w:rStyle w:val="8"/>
          <w:rFonts w:hint="eastAsia" w:ascii="黑体" w:hAnsi="黑体" w:eastAsia="黑体" w:cs="黑体"/>
          <w:b w:val="0"/>
          <w:bCs w:val="0"/>
          <w:sz w:val="28"/>
          <w:szCs w:val="28"/>
          <w:lang w:eastAsia="zh-CN"/>
        </w:rPr>
        <w:t>一、</w:t>
      </w:r>
      <w:r>
        <w:rPr>
          <w:rStyle w:val="8"/>
          <w:rFonts w:hint="eastAsia" w:ascii="黑体" w:hAnsi="黑体" w:eastAsia="黑体" w:cs="黑体"/>
          <w:b w:val="0"/>
          <w:bCs w:val="0"/>
          <w:sz w:val="28"/>
          <w:szCs w:val="28"/>
        </w:rPr>
        <w:t>法律依据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outlineLvl w:val="9"/>
        <w:rPr>
          <w:rStyle w:val="8"/>
          <w:rFonts w:hint="eastAsia" w:ascii="仿宋" w:hAnsi="仿宋" w:eastAsia="仿宋" w:cs="仿宋"/>
          <w:b w:val="0"/>
          <w:sz w:val="28"/>
          <w:szCs w:val="28"/>
          <w:lang w:val="en-US" w:eastAsia="zh-CN"/>
        </w:rPr>
      </w:pPr>
      <w:r>
        <w:rPr>
          <w:rStyle w:val="8"/>
          <w:rFonts w:hint="eastAsia" w:ascii="仿宋" w:hAnsi="仿宋" w:eastAsia="仿宋" w:cs="仿宋"/>
          <w:b w:val="0"/>
          <w:sz w:val="28"/>
          <w:szCs w:val="28"/>
          <w:lang w:val="en-US" w:eastAsia="zh-CN"/>
        </w:rPr>
        <w:t>（一）《中华人民共和国仲裁法》（</w:t>
      </w:r>
      <w:r>
        <w:rPr>
          <w:rStyle w:val="8"/>
          <w:rFonts w:hint="eastAsia" w:ascii="仿宋" w:hAnsi="仿宋" w:eastAsia="仿宋" w:cs="仿宋"/>
          <w:b w:val="0"/>
          <w:sz w:val="28"/>
          <w:szCs w:val="28"/>
        </w:rPr>
        <w:t>1994年8月31日第八届全国人大常委会第九次会议通过</w:t>
      </w:r>
      <w:r>
        <w:rPr>
          <w:rStyle w:val="8"/>
          <w:rFonts w:hint="eastAsia" w:ascii="仿宋" w:hAnsi="仿宋" w:eastAsia="仿宋" w:cs="仿宋"/>
          <w:b w:val="0"/>
          <w:sz w:val="28"/>
          <w:szCs w:val="28"/>
          <w:lang w:eastAsia="zh-CN"/>
        </w:rPr>
        <w:t>，</w:t>
      </w:r>
      <w:r>
        <w:rPr>
          <w:rStyle w:val="8"/>
          <w:rFonts w:hint="eastAsia" w:ascii="仿宋" w:hAnsi="仿宋" w:eastAsia="仿宋" w:cs="仿宋"/>
          <w:b w:val="0"/>
          <w:sz w:val="28"/>
          <w:szCs w:val="28"/>
        </w:rPr>
        <w:t>2017年9月1日第十二届全国人大常委会第二十九次会议第二次修正)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outlineLvl w:val="9"/>
        <w:rPr>
          <w:rStyle w:val="8"/>
          <w:rFonts w:hint="eastAsia" w:ascii="仿宋" w:hAnsi="仿宋" w:eastAsia="仿宋" w:cs="仿宋"/>
          <w:b w:val="0"/>
          <w:sz w:val="28"/>
          <w:szCs w:val="28"/>
          <w:lang w:val="en-US" w:eastAsia="zh-CN"/>
        </w:rPr>
      </w:pPr>
      <w:r>
        <w:rPr>
          <w:rStyle w:val="8"/>
          <w:rFonts w:hint="eastAsia" w:ascii="仿宋" w:hAnsi="仿宋" w:eastAsia="仿宋" w:cs="仿宋"/>
          <w:b w:val="0"/>
          <w:sz w:val="28"/>
          <w:szCs w:val="28"/>
          <w:lang w:val="en-US" w:eastAsia="zh-CN"/>
        </w:rPr>
        <w:t>（二）《仲裁委员会登记暂行办法》（国办发[1995]44号）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outlineLvl w:val="9"/>
        <w:rPr>
          <w:rStyle w:val="8"/>
          <w:rFonts w:hint="eastAsia" w:ascii="黑体" w:hAnsi="黑体" w:eastAsia="黑体" w:cs="黑体"/>
          <w:b w:val="0"/>
          <w:sz w:val="28"/>
          <w:szCs w:val="28"/>
          <w:lang w:val="en-US" w:eastAsia="zh-CN"/>
        </w:rPr>
      </w:pPr>
      <w:r>
        <w:rPr>
          <w:rStyle w:val="8"/>
          <w:rFonts w:hint="eastAsia" w:ascii="黑体" w:hAnsi="黑体" w:eastAsia="黑体" w:cs="黑体"/>
          <w:b w:val="0"/>
          <w:sz w:val="28"/>
          <w:szCs w:val="28"/>
          <w:lang w:eastAsia="zh-CN"/>
        </w:rPr>
        <w:t>二、申请</w:t>
      </w:r>
      <w:r>
        <w:rPr>
          <w:rStyle w:val="8"/>
          <w:rFonts w:hint="eastAsia" w:ascii="黑体" w:hAnsi="黑体" w:eastAsia="黑体" w:cs="黑体"/>
          <w:b w:val="0"/>
          <w:sz w:val="28"/>
          <w:szCs w:val="28"/>
        </w:rPr>
        <w:t>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根据《中华人民共和国仲裁法》第十条、第十一条规定，申请设立仲裁委员会，应具备下列条件：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Style w:val="8"/>
          <w:rFonts w:hint="eastAsia" w:ascii="仿宋" w:hAnsi="仿宋" w:eastAsia="仿宋" w:cs="仿宋"/>
          <w:b w:val="0"/>
          <w:kern w:val="0"/>
          <w:sz w:val="28"/>
          <w:szCs w:val="28"/>
          <w:lang w:val="en-US" w:eastAsia="zh-CN" w:bidi="ar-SA"/>
        </w:rPr>
      </w:pPr>
      <w:r>
        <w:rPr>
          <w:rStyle w:val="8"/>
          <w:rFonts w:hint="eastAsia" w:ascii="仿宋" w:hAnsi="仿宋" w:eastAsia="仿宋" w:cs="仿宋"/>
          <w:b w:val="0"/>
          <w:kern w:val="0"/>
          <w:sz w:val="28"/>
          <w:szCs w:val="28"/>
          <w:lang w:val="en-US" w:eastAsia="zh-CN" w:bidi="ar-SA"/>
        </w:rPr>
        <w:t>（一）仲裁委员会可以在直辖市和省、自治区人民政府所在地的市设立，也可以根据需要在其他设区的市设立，不按行政区划层层设立。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Style w:val="8"/>
          <w:rFonts w:hint="eastAsia" w:ascii="仿宋" w:hAnsi="仿宋" w:eastAsia="仿宋" w:cs="仿宋"/>
          <w:b w:val="0"/>
          <w:kern w:val="0"/>
          <w:sz w:val="28"/>
          <w:szCs w:val="28"/>
          <w:lang w:val="en-US" w:eastAsia="zh-CN" w:bidi="ar-SA"/>
        </w:rPr>
      </w:pPr>
      <w:r>
        <w:rPr>
          <w:rStyle w:val="8"/>
          <w:rFonts w:hint="eastAsia" w:ascii="仿宋" w:hAnsi="仿宋" w:eastAsia="仿宋" w:cs="仿宋"/>
          <w:b w:val="0"/>
          <w:kern w:val="0"/>
          <w:sz w:val="28"/>
          <w:szCs w:val="28"/>
          <w:lang w:val="en-US" w:eastAsia="zh-CN" w:bidi="ar-SA"/>
        </w:rPr>
        <w:t>（二）仲裁委员会由前款规定的市的人民政府组织有关部门和商会统一组建。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（三）有自己的名称、住所和章程；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（四）有必要的财产；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（五）有该委员会的组成人员；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150" w:right="-150"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（六）有聘任的仲裁员。</w:t>
      </w:r>
      <w:r>
        <w:rPr>
          <w:rFonts w:hint="eastAsia" w:ascii="仿宋" w:hAnsi="仿宋" w:eastAsia="仿宋" w:cs="仿宋"/>
          <w:sz w:val="28"/>
          <w:szCs w:val="28"/>
        </w:rPr>
        <w:t xml:space="preserve">  </w:t>
      </w:r>
    </w:p>
    <w:p>
      <w:pPr>
        <w:numPr>
          <w:ilvl w:val="0"/>
          <w:numId w:val="0"/>
        </w:numPr>
        <w:ind w:firstLine="560" w:firstLineChars="200"/>
        <w:rPr>
          <w:rStyle w:val="8"/>
          <w:rFonts w:hint="eastAsia" w:ascii="黑体" w:hAnsi="黑体" w:eastAsia="黑体" w:cs="黑体"/>
          <w:b w:val="0"/>
          <w:sz w:val="28"/>
          <w:szCs w:val="28"/>
          <w:lang w:val="en-US" w:eastAsia="zh-CN"/>
        </w:rPr>
      </w:pPr>
      <w:r>
        <w:rPr>
          <w:rFonts w:hint="eastAsia" w:ascii="黑体" w:hAnsi="黑体" w:eastAsia="黑体" w:cs="黑体"/>
          <w:sz w:val="28"/>
          <w:szCs w:val="28"/>
          <w:lang w:eastAsia="zh-CN"/>
        </w:rPr>
        <w:t>三、审批</w:t>
      </w:r>
      <w:r>
        <w:rPr>
          <w:rFonts w:hint="eastAsia" w:ascii="黑体" w:hAnsi="黑体" w:eastAsia="黑体" w:cs="黑体"/>
          <w:sz w:val="28"/>
          <w:szCs w:val="28"/>
        </w:rPr>
        <w:t>程序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（一）申请人依据设立条件向省司法厅提交申请。</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登记机关应当在收到申请材料之日起10日内，对符合设立条件的仲裁委员会予以设立登记，并发给登记证书；对符合设立条件，但所提供的申请材料不完整的，在要求补正后予以登记；对不符合设立条件的，不予登记。</w:t>
      </w:r>
    </w:p>
    <w:p>
      <w:pPr>
        <w:numPr>
          <w:ilvl w:val="0"/>
          <w:numId w:val="0"/>
        </w:numPr>
        <w:ind w:firstLine="560" w:firstLineChars="200"/>
        <w:rPr>
          <w:rStyle w:val="8"/>
          <w:rFonts w:hint="eastAsia" w:ascii="黑体" w:hAnsi="黑体" w:eastAsia="黑体" w:cs="黑体"/>
          <w:b w:val="0"/>
          <w:sz w:val="28"/>
          <w:szCs w:val="28"/>
          <w:lang w:val="en-US" w:eastAsia="zh-CN"/>
        </w:rPr>
      </w:pPr>
      <w:r>
        <w:rPr>
          <w:rFonts w:hint="eastAsia" w:ascii="黑体" w:hAnsi="黑体" w:eastAsia="黑体" w:cs="黑体"/>
          <w:sz w:val="28"/>
          <w:szCs w:val="28"/>
          <w:lang w:eastAsia="zh-CN"/>
        </w:rPr>
        <w:t>四、</w:t>
      </w:r>
      <w:r>
        <w:rPr>
          <w:rFonts w:hint="eastAsia" w:ascii="黑体" w:hAnsi="黑体" w:eastAsia="黑体" w:cs="黑体"/>
          <w:sz w:val="28"/>
          <w:szCs w:val="28"/>
        </w:rPr>
        <w:t>申请材料</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根据《仲裁委员会登记暂行办法》第三条规定，申请设立仲裁委员会，应提交下列材料：</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（一）设立仲裁委员会申请书；</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（二）组建仲裁委员会的市的人民政府设立仲裁委员会的文件；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（三）仲裁委员会章程；</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（四）财政部门划款证明或银行到账清单；</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（五）住所证明；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（六）聘任的仲裁委员会组成人员的聘书副本；</w:t>
      </w:r>
      <w:bookmarkStart w:id="0" w:name="_GoBack"/>
      <w:bookmarkEnd w:id="0"/>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（七）拟聘任的仲裁员名册。</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outlineLvl w:val="9"/>
        <w:rPr>
          <w:rFonts w:hint="eastAsia" w:ascii="仿宋" w:hAnsi="仿宋" w:eastAsia="仿宋" w:cs="仿宋"/>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icons">
    <w:altName w:val="Segoe Print"/>
    <w:panose1 w:val="00000000000000000000"/>
    <w:charset w:val="00"/>
    <w:family w:val="auto"/>
    <w:pitch w:val="default"/>
    <w:sig w:usb0="00000000" w:usb1="00000000" w:usb2="00000000" w:usb3="00000000" w:csb0="00000000" w:csb1="00000000"/>
  </w:font>
  <w:font w:name="element-ico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02CC"/>
    <w:rsid w:val="08B21CEA"/>
    <w:rsid w:val="0C6053EF"/>
    <w:rsid w:val="0FF87D60"/>
    <w:rsid w:val="12360C71"/>
    <w:rsid w:val="15EE12EC"/>
    <w:rsid w:val="1C534641"/>
    <w:rsid w:val="1CCD0BC4"/>
    <w:rsid w:val="1EF63DE1"/>
    <w:rsid w:val="1F275183"/>
    <w:rsid w:val="2317052D"/>
    <w:rsid w:val="235A0F77"/>
    <w:rsid w:val="278F5635"/>
    <w:rsid w:val="29710B9A"/>
    <w:rsid w:val="44FB036A"/>
    <w:rsid w:val="45226C80"/>
    <w:rsid w:val="461D1DA4"/>
    <w:rsid w:val="47FA1318"/>
    <w:rsid w:val="4B40238B"/>
    <w:rsid w:val="4C67258B"/>
    <w:rsid w:val="4CEF5184"/>
    <w:rsid w:val="53AB4002"/>
    <w:rsid w:val="5CB235AB"/>
    <w:rsid w:val="62FB52BE"/>
    <w:rsid w:val="742A470E"/>
    <w:rsid w:val="74611EF1"/>
    <w:rsid w:val="756C2B34"/>
    <w:rsid w:val="78EA44B5"/>
    <w:rsid w:val="7D1035C9"/>
    <w:rsid w:val="7F10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rPr>
      <w:kern w:val="0"/>
      <w:sz w:val="2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character" w:styleId="8">
    <w:name w:val="Strong"/>
    <w:basedOn w:val="7"/>
    <w:qFormat/>
    <w:uiPriority w:val="0"/>
    <w:rPr>
      <w:b/>
      <w:bCs/>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5C81"/>
      <w:u w:val="none"/>
    </w:rPr>
  </w:style>
  <w:style w:type="character" w:styleId="14">
    <w:name w:val="HTML Code"/>
    <w:basedOn w:val="7"/>
    <w:qFormat/>
    <w:uiPriority w:val="0"/>
    <w:rPr>
      <w:rFonts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sz w:val="21"/>
      <w:szCs w:val="21"/>
    </w:rPr>
  </w:style>
  <w:style w:type="character" w:styleId="17">
    <w:name w:val="HTML Sample"/>
    <w:basedOn w:val="7"/>
    <w:uiPriority w:val="0"/>
    <w:rPr>
      <w:rFonts w:hint="default" w:ascii="serif" w:hAnsi="serif" w:eastAsia="serif" w:cs="serif"/>
      <w:sz w:val="21"/>
      <w:szCs w:val="21"/>
    </w:rPr>
  </w:style>
  <w:style w:type="character" w:customStyle="1" w:styleId="19">
    <w:name w:val="fontstrikethrough"/>
    <w:basedOn w:val="7"/>
    <w:qFormat/>
    <w:uiPriority w:val="0"/>
    <w:rPr>
      <w:strike/>
    </w:rPr>
  </w:style>
  <w:style w:type="character" w:customStyle="1" w:styleId="20">
    <w:name w:val="fontborder"/>
    <w:basedOn w:val="7"/>
    <w:qFormat/>
    <w:uiPriority w:val="0"/>
    <w:rPr>
      <w:bdr w:val="single" w:color="000000" w:sz="6" w:space="0"/>
    </w:rPr>
  </w:style>
  <w:style w:type="character" w:customStyle="1" w:styleId="21">
    <w:name w:val="not([class*=suffix])"/>
    <w:basedOn w:val="7"/>
    <w:uiPriority w:val="0"/>
    <w:rPr>
      <w:sz w:val="19"/>
      <w:szCs w:val="19"/>
    </w:rPr>
  </w:style>
  <w:style w:type="character" w:customStyle="1" w:styleId="22">
    <w:name w:val="not([class*=suffix])1"/>
    <w:basedOn w:val="7"/>
    <w:uiPriority w:val="0"/>
  </w:style>
  <w:style w:type="character" w:customStyle="1" w:styleId="23">
    <w:name w:val="last-child"/>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 }</cp:lastModifiedBy>
  <cp:lastPrinted>2019-04-24T05:41:00Z</cp:lastPrinted>
  <dcterms:modified xsi:type="dcterms:W3CDTF">2019-05-16T09:41:23Z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